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01299F6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0B8FD84B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</w:t>
      </w:r>
      <w:r w:rsidR="004C2D8C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/2022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7A1042BE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204CF6">
        <w:rPr>
          <w:rFonts w:ascii="Times New Roman" w:hAnsi="Times New Roman"/>
          <w:b/>
          <w:noProof/>
          <w:sz w:val="24"/>
          <w:szCs w:val="24"/>
          <w:lang w:val="sr-Cyrl-RS"/>
        </w:rPr>
        <w:t>2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204CF6" w:rsidRPr="00204CF6">
        <w:rPr>
          <w:rFonts w:ascii="Times New Roman" w:hAnsi="Times New Roman"/>
          <w:b/>
          <w:noProof/>
          <w:sz w:val="24"/>
          <w:szCs w:val="24"/>
        </w:rPr>
        <w:t>ЕТАЛОНИРАЊЕ И ПРОВЕРА ИСПРАВНОСТИ УРЕЂАЈА У ЛАБОРАТОРИЈИ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8249687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>
        <w:rPr>
          <w:rFonts w:ascii="Times New Roman" w:hAnsi="Times New Roman"/>
          <w:noProof/>
          <w:sz w:val="24"/>
          <w:szCs w:val="24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6C8EE224" w:rsidR="001D279E" w:rsidRPr="000E32B4" w:rsidRDefault="001D279E" w:rsidP="00144CC8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44CC8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019FEC90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144CC8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332D9156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204CF6"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44336173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204CF6">
        <w:rPr>
          <w:rFonts w:ascii="Times New Roman" w:hAnsi="Times New Roman"/>
          <w:bCs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144CC8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5BFA1500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</w:t>
      </w:r>
      <w:r w:rsidR="004C2D8C">
        <w:rPr>
          <w:rFonts w:ascii="Times New Roman" w:hAnsi="Times New Roman"/>
          <w:noProof/>
          <w:sz w:val="24"/>
          <w:szCs w:val="24"/>
        </w:rPr>
        <w:t>252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2A83AF9C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44CC8"/>
    <w:rsid w:val="001D279E"/>
    <w:rsid w:val="00204CF6"/>
    <w:rsid w:val="003C6EFF"/>
    <w:rsid w:val="003F52DC"/>
    <w:rsid w:val="004B0AB4"/>
    <w:rsid w:val="004C2D8C"/>
    <w:rsid w:val="00605732"/>
    <w:rsid w:val="009930EC"/>
    <w:rsid w:val="00A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5</cp:revision>
  <dcterms:created xsi:type="dcterms:W3CDTF">2022-03-03T11:23:00Z</dcterms:created>
  <dcterms:modified xsi:type="dcterms:W3CDTF">2022-04-08T12:16:00Z</dcterms:modified>
</cp:coreProperties>
</file>