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ascii="Times New Roman" w:hAnsi="Times New Roman"/>
          <w:b/>
          <w:bCs/>
        </w:rPr>
      </w:pPr>
      <w:r>
        <w:rPr>
          <w:rFonts w:ascii="Times New Roman" w:hAnsi="Times New Roman"/>
          <w:b/>
          <w:bCs/>
        </w:rPr>
        <w:t>Контрацепција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Контрацепција обухвата низ метода које имају за циљ да спрече оплодњу јајне ћелије, а у случају да до оплодње ипак дође да спречи усадњу тј. имплатацију оплођене јајне ћелије на слузокожу материце </w:t>
      </w:r>
      <w:r>
        <w:rPr>
          <w:rFonts w:ascii="Times New Roman" w:hAnsi="Times New Roman"/>
          <w:lang w:val="sr-RS"/>
        </w:rPr>
        <w:t xml:space="preserve"> (</w:t>
      </w:r>
      <w:r>
        <w:rPr>
          <w:rFonts w:ascii="Times New Roman" w:hAnsi="Times New Roman"/>
        </w:rPr>
        <w:t>ендометријум</w:t>
      </w:r>
      <w:r>
        <w:rPr>
          <w:rFonts w:ascii="Times New Roman" w:hAnsi="Times New Roman"/>
          <w:lang w:val="sr-RS"/>
        </w:rPr>
        <w:t>)</w:t>
      </w:r>
      <w:r>
        <w:rPr>
          <w:rFonts w:ascii="Times New Roman" w:hAnsi="Times New Roman"/>
        </w:rPr>
        <w:t xml:space="preserve"> и на тај начин настанак трудноће.</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Heading2"/>
        <w:spacing w:before="0" w:after="0"/>
        <w:jc w:val="both"/>
        <w:rPr>
          <w:rFonts w:ascii="Times New Roman" w:hAnsi="Times New Roman"/>
          <w:color w:val="000000"/>
          <w:sz w:val="24"/>
          <w:szCs w:val="24"/>
        </w:rPr>
      </w:pPr>
      <w:r>
        <w:rPr>
          <w:rFonts w:ascii="Times New Roman" w:hAnsi="Times New Roman"/>
          <w:color w:val="000000"/>
          <w:sz w:val="24"/>
          <w:szCs w:val="24"/>
        </w:rPr>
        <w:t>Врсте контрацепције</w:t>
      </w:r>
    </w:p>
    <w:p>
      <w:pPr>
        <w:pStyle w:val="Heading2"/>
        <w:spacing w:before="0" w:after="0"/>
        <w:jc w:val="both"/>
        <w:rPr>
          <w:rFonts w:ascii="Times New Roman" w:hAnsi="Times New Roman"/>
          <w:b w:val="false"/>
          <w:bCs w:val="false"/>
          <w:color w:val="000000"/>
          <w:sz w:val="24"/>
          <w:szCs w:val="24"/>
        </w:rPr>
      </w:pPr>
      <w:r>
        <w:rPr>
          <w:rFonts w:ascii="Times New Roman" w:hAnsi="Times New Roman"/>
          <w:b w:val="false"/>
          <w:bCs w:val="false"/>
          <w:color w:val="000000"/>
          <w:sz w:val="24"/>
          <w:szCs w:val="24"/>
        </w:rPr>
      </w:r>
    </w:p>
    <w:p>
      <w:pPr>
        <w:pStyle w:val="Heading2"/>
        <w:spacing w:before="0" w:after="0"/>
        <w:jc w:val="both"/>
        <w:rPr>
          <w:rFonts w:ascii="Times New Roman" w:hAnsi="Times New Roman"/>
          <w:b w:val="false"/>
          <w:bCs w:val="false"/>
          <w:color w:val="000000"/>
          <w:sz w:val="24"/>
          <w:szCs w:val="24"/>
        </w:rPr>
      </w:pPr>
      <w:r>
        <w:rPr>
          <w:rFonts w:ascii="Times New Roman" w:hAnsi="Times New Roman"/>
          <w:b w:val="false"/>
          <w:bCs w:val="false"/>
          <w:color w:val="000000"/>
          <w:sz w:val="24"/>
          <w:szCs w:val="24"/>
        </w:rPr>
        <w:t>Традиционални методи контрацепције су: апстиненција, методи засновани на одређивању периода тзв. плодних дана (на основу мерења базалне температуре, календара менструације или карактеристика цервикалне слузи), метод прекинутог сношаја и метод лактационе аменореје.</w:t>
      </w:r>
    </w:p>
    <w:p>
      <w:pPr>
        <w:pStyle w:val="Heading2"/>
        <w:spacing w:before="0" w:after="0"/>
        <w:jc w:val="both"/>
        <w:rPr>
          <w:rFonts w:ascii="Times New Roman" w:hAnsi="Times New Roman"/>
          <w:b w:val="false"/>
          <w:bCs w:val="false"/>
          <w:color w:val="000000"/>
          <w:sz w:val="24"/>
          <w:szCs w:val="24"/>
        </w:rPr>
      </w:pPr>
      <w:r>
        <w:rPr>
          <w:rFonts w:ascii="Times New Roman" w:hAnsi="Times New Roman"/>
          <w:b w:val="false"/>
          <w:bCs w:val="false"/>
          <w:color w:val="000000"/>
          <w:sz w:val="24"/>
          <w:szCs w:val="24"/>
        </w:rPr>
      </w:r>
    </w:p>
    <w:p>
      <w:pPr>
        <w:pStyle w:val="Heading2"/>
        <w:spacing w:before="0" w:after="0"/>
        <w:jc w:val="both"/>
        <w:rPr>
          <w:rFonts w:ascii="Times New Roman" w:hAnsi="Times New Roman"/>
          <w:b w:val="false"/>
          <w:bCs w:val="false"/>
          <w:color w:val="000000"/>
          <w:sz w:val="24"/>
          <w:szCs w:val="24"/>
        </w:rPr>
      </w:pPr>
      <w:r>
        <w:rPr>
          <w:rFonts w:ascii="Times New Roman" w:hAnsi="Times New Roman"/>
          <w:b w:val="false"/>
          <w:bCs w:val="false"/>
          <w:color w:val="000000"/>
          <w:sz w:val="24"/>
          <w:szCs w:val="24"/>
        </w:rPr>
        <w:t>Савремени методи контрацепције су: комбинована хормонска контрацепција (у виду таблета, фластера, вагиналног прстена и депо-и</w:t>
      </w:r>
      <w:r>
        <w:rPr>
          <w:rFonts w:ascii="Times New Roman" w:hAnsi="Times New Roman"/>
          <w:b w:val="false"/>
          <w:bCs w:val="false"/>
          <w:color w:val="000000"/>
          <w:sz w:val="24"/>
          <w:szCs w:val="24"/>
          <w:lang w:val="sr-RS"/>
        </w:rPr>
        <w:t>нј</w:t>
      </w:r>
      <w:r>
        <w:rPr>
          <w:rFonts w:ascii="Times New Roman" w:hAnsi="Times New Roman"/>
          <w:b w:val="false"/>
          <w:bCs w:val="false"/>
          <w:color w:val="000000"/>
          <w:sz w:val="24"/>
          <w:szCs w:val="24"/>
        </w:rPr>
        <w:t>екција), прогестагенска хормонска контрацепција (у виду таблета, вагиналног прстена, депо-и</w:t>
      </w:r>
      <w:r>
        <w:rPr>
          <w:rFonts w:ascii="Times New Roman" w:hAnsi="Times New Roman"/>
          <w:b w:val="false"/>
          <w:bCs w:val="false"/>
          <w:color w:val="000000"/>
          <w:sz w:val="24"/>
          <w:szCs w:val="24"/>
          <w:lang w:val="sr-RS"/>
        </w:rPr>
        <w:t>нј</w:t>
      </w:r>
      <w:r>
        <w:rPr>
          <w:rFonts w:ascii="Times New Roman" w:hAnsi="Times New Roman"/>
          <w:b w:val="false"/>
          <w:bCs w:val="false"/>
          <w:color w:val="000000"/>
          <w:sz w:val="24"/>
          <w:szCs w:val="24"/>
        </w:rPr>
        <w:t>екција и импланата), интраутерина контрацепција (у виду интраутериних уложака са бакром и интраутериних система са левоноргестрелом), баријерна контрацепција (у виду мушких и женских кондома, дијафрагми и цервикалних капа), спермициди, вољна стерилизација жене и мушкарца и хитна контрацепција</w:t>
      </w:r>
    </w:p>
    <w:p>
      <w:pPr>
        <w:pStyle w:val="Normal"/>
        <w:widowControl/>
        <w:pBdr>
          <w:top w:val="nil"/>
          <w:left w:val="nil"/>
          <w:bottom w:val="nil"/>
          <w:right w:val="nil"/>
        </w:pBdr>
        <w:jc w:val="both"/>
        <w:rPr>
          <w:rFonts w:ascii="Times New Roman" w:hAnsi="Times New Roman"/>
        </w:rPr>
      </w:pPr>
      <w:r>
        <w:rPr>
          <w:rFonts w:ascii="Times New Roman" w:hAnsi="Times New Roman"/>
        </w:rPr>
      </w:r>
    </w:p>
    <w:p>
      <w:pPr>
        <w:pStyle w:val="Normal"/>
        <w:widowControl/>
        <w:pBdr>
          <w:top w:val="nil"/>
          <w:left w:val="nil"/>
          <w:bottom w:val="nil"/>
          <w:right w:val="nil"/>
        </w:pBdr>
        <w:jc w:val="both"/>
        <w:rPr>
          <w:rFonts w:ascii="Times New Roman" w:hAnsi="Times New Roman"/>
          <w:b/>
          <w:bCs/>
        </w:rPr>
      </w:pPr>
      <w:r>
        <w:rPr>
          <w:rFonts w:ascii="Times New Roman" w:hAnsi="Times New Roman"/>
          <w:b/>
          <w:bCs/>
        </w:rPr>
        <w:t>Делотворност метода</w:t>
      </w:r>
    </w:p>
    <w:p>
      <w:pPr>
        <w:pStyle w:val="Normal"/>
        <w:widowControl/>
        <w:pBdr>
          <w:top w:val="nil"/>
          <w:left w:val="nil"/>
          <w:bottom w:val="nil"/>
          <w:right w:val="nil"/>
        </w:pBdr>
        <w:jc w:val="both"/>
        <w:rPr>
          <w:rFonts w:ascii="Times New Roman" w:hAnsi="Times New Roman"/>
        </w:rPr>
      </w:pPr>
      <w:r>
        <w:rPr>
          <w:rFonts w:ascii="Times New Roman" w:hAnsi="Times New Roman"/>
        </w:rPr>
      </w:r>
    </w:p>
    <w:p>
      <w:pPr>
        <w:pStyle w:val="Normal"/>
        <w:widowControl/>
        <w:pBdr>
          <w:top w:val="nil"/>
          <w:left w:val="nil"/>
          <w:bottom w:val="nil"/>
          <w:right w:val="nil"/>
        </w:pBdr>
        <w:jc w:val="both"/>
        <w:rPr>
          <w:rFonts w:ascii="Times New Roman" w:hAnsi="Times New Roman"/>
        </w:rPr>
      </w:pPr>
      <w:r>
        <w:rPr>
          <w:rFonts w:ascii="Times New Roman" w:hAnsi="Times New Roman"/>
        </w:rPr>
        <w:t>Избор средства за контрацепцију делимично зависи од делотворности метода да спречи непланирану трудноћу, што опет у случају неких метода не зависи само од заштите коју пружа сам метод, већ и од тога колико се доследно и правилно он користи.</w:t>
      </w:r>
    </w:p>
    <w:p>
      <w:pPr>
        <w:pStyle w:val="Normal"/>
        <w:widowControl/>
        <w:pBdr>
          <w:top w:val="nil"/>
          <w:left w:val="nil"/>
          <w:bottom w:val="nil"/>
          <w:right w:val="nil"/>
        </w:pBdr>
        <w:jc w:val="both"/>
        <w:rPr>
          <w:rFonts w:ascii="Times New Roman" w:hAnsi="Times New Roman"/>
        </w:rPr>
      </w:pPr>
      <w:bookmarkStart w:id="0" w:name="_GoBack"/>
      <w:bookmarkStart w:id="1" w:name="_GoBack"/>
      <w:bookmarkEnd w:id="1"/>
      <w:r>
        <w:rPr>
          <w:rFonts w:ascii="Times New Roman" w:hAnsi="Times New Roman"/>
        </w:rPr>
      </w:r>
    </w:p>
    <w:p>
      <w:pPr>
        <w:pStyle w:val="Normal"/>
        <w:widowControl/>
        <w:pBdr>
          <w:top w:val="nil"/>
          <w:left w:val="nil"/>
          <w:bottom w:val="nil"/>
          <w:right w:val="nil"/>
        </w:pBdr>
        <w:jc w:val="both"/>
        <w:rPr>
          <w:rFonts w:ascii="Times New Roman" w:hAnsi="Times New Roman"/>
        </w:rPr>
      </w:pPr>
      <w:r>
        <w:rPr>
          <w:rFonts w:ascii="Times New Roman" w:hAnsi="Times New Roman"/>
        </w:rPr>
      </w:r>
    </w:p>
    <w:p>
      <w:pPr>
        <w:pStyle w:val="Normal"/>
        <w:widowControl/>
        <w:pBdr>
          <w:top w:val="nil"/>
          <w:left w:val="nil"/>
          <w:bottom w:val="nil"/>
          <w:right w:val="nil"/>
        </w:pBdr>
        <w:jc w:val="both"/>
        <w:rPr>
          <w:rFonts w:ascii="Times New Roman" w:hAnsi="Times New Roman"/>
        </w:rPr>
      </w:pPr>
      <w:r>
        <w:rPr>
          <w:rFonts w:ascii="Times New Roman" w:hAnsi="Times New Roman"/>
          <w:b/>
        </w:rPr>
        <w:t>Табела 1.</w:t>
      </w:r>
      <w:r>
        <w:rPr>
          <w:rFonts w:ascii="Times New Roman" w:hAnsi="Times New Roman"/>
        </w:rPr>
        <w:t xml:space="preserve"> Проценат жена којима се догодила нежељена трудноћа у току прве године типичне употребе и прве године идеалне употребе контрацептивних средстава, као и проценат жена које су наставиле са употребом по истеку прве године</w:t>
      </w:r>
    </w:p>
    <w:tbl>
      <w:tblPr>
        <w:jc w:val="left"/>
        <w:tblInd w:w="25"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15" w:type="dxa"/>
          <w:bottom w:w="55" w:type="dxa"/>
          <w:right w:w="55" w:type="dxa"/>
        </w:tblCellMar>
      </w:tblPr>
      <w:tblGrid>
        <w:gridCol w:w="2775"/>
        <w:gridCol w:w="2156"/>
        <w:gridCol w:w="2276"/>
        <w:gridCol w:w="1"/>
        <w:gridCol w:w="2420"/>
      </w:tblGrid>
      <w:tr>
        <w:trPr>
          <w:cantSplit w:val="false"/>
        </w:trPr>
        <w:tc>
          <w:tcPr>
            <w:tcW w:w="2775" w:type="dxa"/>
            <w:vMerge w:val="restart"/>
            <w:tcBorders>
              <w:top w:val="single" w:sz="2" w:space="0" w:color="000001"/>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b/>
                <w:sz w:val="22"/>
                <w:szCs w:val="22"/>
              </w:rPr>
            </w:pPr>
            <w:r>
              <w:rPr>
                <w:rFonts w:ascii="Times New Roman" w:hAnsi="Times New Roman"/>
                <w:b/>
                <w:sz w:val="22"/>
                <w:szCs w:val="22"/>
              </w:rPr>
            </w:r>
          </w:p>
          <w:p>
            <w:pPr>
              <w:pStyle w:val="TableContents"/>
              <w:jc w:val="center"/>
              <w:rPr>
                <w:rFonts w:ascii="Times New Roman" w:hAnsi="Times New Roman"/>
                <w:b/>
                <w:sz w:val="22"/>
                <w:szCs w:val="22"/>
              </w:rPr>
            </w:pPr>
            <w:r>
              <w:rPr>
                <w:rFonts w:ascii="Times New Roman" w:hAnsi="Times New Roman"/>
                <w:b/>
                <w:sz w:val="22"/>
                <w:szCs w:val="22"/>
              </w:rPr>
              <w:t>Метод</w:t>
            </w:r>
          </w:p>
        </w:tc>
        <w:tc>
          <w:tcPr>
            <w:tcW w:w="4433" w:type="dxa"/>
            <w:gridSpan w:val="3"/>
            <w:tcBorders>
              <w:top w:val="single" w:sz="2" w:space="0" w:color="000001"/>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b/>
                <w:sz w:val="22"/>
                <w:szCs w:val="22"/>
              </w:rPr>
            </w:pPr>
            <w:r>
              <w:rPr>
                <w:rFonts w:ascii="Times New Roman" w:hAnsi="Times New Roman"/>
                <w:b/>
                <w:sz w:val="22"/>
                <w:szCs w:val="22"/>
              </w:rPr>
              <w:t>% жена које су доживеле нежељену трудноћу у току прве године употребе</w:t>
            </w:r>
          </w:p>
        </w:tc>
        <w:tc>
          <w:tcPr>
            <w:tcW w:w="2420"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b/>
                <w:sz w:val="22"/>
                <w:szCs w:val="22"/>
              </w:rPr>
            </w:pPr>
            <w:r>
              <w:rPr>
                <w:rFonts w:ascii="Times New Roman" w:hAnsi="Times New Roman"/>
                <w:b/>
                <w:sz w:val="22"/>
                <w:szCs w:val="22"/>
              </w:rPr>
              <w:t>% жена које су на-</w:t>
            </w:r>
          </w:p>
          <w:p>
            <w:pPr>
              <w:pStyle w:val="TableContents"/>
              <w:jc w:val="center"/>
              <w:rPr>
                <w:rFonts w:ascii="Times New Roman" w:hAnsi="Times New Roman"/>
                <w:b/>
                <w:sz w:val="22"/>
                <w:szCs w:val="22"/>
              </w:rPr>
            </w:pPr>
            <w:r>
              <w:rPr>
                <w:rFonts w:ascii="Times New Roman" w:hAnsi="Times New Roman"/>
                <w:b/>
                <w:sz w:val="22"/>
                <w:szCs w:val="22"/>
              </w:rPr>
              <w:t>ставиле с употребом</w:t>
            </w:r>
          </w:p>
          <w:p>
            <w:pPr>
              <w:pStyle w:val="TableContents"/>
              <w:jc w:val="center"/>
              <w:rPr>
                <w:rFonts w:ascii="Times New Roman" w:hAnsi="Times New Roman"/>
                <w:b/>
                <w:sz w:val="22"/>
                <w:szCs w:val="22"/>
                <w:vertAlign w:val="superscript"/>
              </w:rPr>
            </w:pPr>
            <w:r>
              <w:rPr>
                <w:rFonts w:ascii="Times New Roman" w:hAnsi="Times New Roman"/>
                <w:b/>
                <w:sz w:val="22"/>
                <w:szCs w:val="22"/>
              </w:rPr>
              <w:t xml:space="preserve">након прве године </w:t>
            </w:r>
            <w:r>
              <w:rPr>
                <w:rFonts w:ascii="Times New Roman" w:hAnsi="Times New Roman"/>
                <w:b/>
                <w:sz w:val="22"/>
                <w:szCs w:val="22"/>
                <w:vertAlign w:val="superscript"/>
              </w:rPr>
              <w:t>3</w:t>
            </w:r>
          </w:p>
        </w:tc>
      </w:tr>
      <w:tr>
        <w:trPr>
          <w:cantSplit w:val="false"/>
        </w:trPr>
        <w:tc>
          <w:tcPr>
            <w:tcW w:w="2775"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vertAlign w:val="superscript"/>
              </w:rPr>
            </w:pPr>
            <w:r>
              <w:rPr>
                <w:rFonts w:ascii="Times New Roman" w:hAnsi="Times New Roman"/>
                <w:sz w:val="22"/>
                <w:szCs w:val="22"/>
              </w:rPr>
              <w:t xml:space="preserve">Типична употреба </w:t>
            </w:r>
            <w:r>
              <w:rPr>
                <w:rFonts w:ascii="Times New Roman" w:hAnsi="Times New Roman"/>
                <w:sz w:val="22"/>
                <w:szCs w:val="22"/>
                <w:vertAlign w:val="superscript"/>
              </w:rPr>
              <w:t>1</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vertAlign w:val="superscript"/>
              </w:rPr>
            </w:pPr>
            <w:r>
              <w:rPr>
                <w:rFonts w:ascii="Times New Roman" w:hAnsi="Times New Roman"/>
                <w:sz w:val="22"/>
                <w:szCs w:val="22"/>
              </w:rPr>
              <w:t xml:space="preserve">Идеална употреба </w:t>
            </w:r>
            <w:r>
              <w:rPr>
                <w:rFonts w:ascii="Times New Roman" w:hAnsi="Times New Roman"/>
                <w:sz w:val="22"/>
                <w:szCs w:val="22"/>
                <w:vertAlign w:val="superscript"/>
              </w:rPr>
              <w:t>2</w:t>
            </w:r>
          </w:p>
        </w:tc>
        <w:tc>
          <w:tcPr>
            <w:tcW w:w="2421" w:type="dxa"/>
            <w:gridSpan w:val="2"/>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vertAlign w:val="superscript"/>
              </w:rPr>
            </w:pPr>
            <w:r>
              <w:rPr>
                <w:rFonts w:ascii="Times New Roman" w:hAnsi="Times New Roman"/>
                <w:sz w:val="22"/>
                <w:szCs w:val="22"/>
              </w:rPr>
              <w:t xml:space="preserve">Без метода </w:t>
            </w:r>
            <w:r>
              <w:rPr>
                <w:rFonts w:ascii="Times New Roman" w:hAnsi="Times New Roman"/>
                <w:sz w:val="22"/>
                <w:szCs w:val="22"/>
                <w:vertAlign w:val="superscript"/>
              </w:rPr>
              <w:t>4</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85</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85</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vertAlign w:val="superscript"/>
              </w:rPr>
            </w:pPr>
            <w:r>
              <w:rPr>
                <w:rFonts w:ascii="Times New Roman" w:hAnsi="Times New Roman"/>
                <w:sz w:val="22"/>
                <w:szCs w:val="22"/>
              </w:rPr>
              <w:t xml:space="preserve">Спермициди </w:t>
            </w:r>
            <w:r>
              <w:rPr>
                <w:rFonts w:ascii="Times New Roman" w:hAnsi="Times New Roman"/>
                <w:sz w:val="22"/>
                <w:szCs w:val="22"/>
                <w:vertAlign w:val="superscript"/>
              </w:rPr>
              <w:t>5</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29</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18</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42</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Прекинут сношај</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27</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4</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43</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Методи одређивања плодних дана</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25</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51</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vertAlign w:val="superscript"/>
              </w:rPr>
            </w:pPr>
            <w:r>
              <w:rPr>
                <w:rFonts w:ascii="Times New Roman" w:hAnsi="Times New Roman"/>
                <w:sz w:val="22"/>
                <w:szCs w:val="22"/>
              </w:rPr>
              <w:t xml:space="preserve">    </w:t>
            </w:r>
            <w:r>
              <w:rPr>
                <w:rFonts w:ascii="Times New Roman" w:hAnsi="Times New Roman"/>
                <w:sz w:val="22"/>
                <w:szCs w:val="22"/>
              </w:rPr>
              <w:t xml:space="preserve">Метод стандардних дана </w:t>
            </w:r>
            <w:r>
              <w:rPr>
                <w:rFonts w:ascii="Times New Roman" w:hAnsi="Times New Roman"/>
                <w:sz w:val="22"/>
                <w:szCs w:val="22"/>
                <w:vertAlign w:val="superscript"/>
              </w:rPr>
              <w:t>6</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5</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vertAlign w:val="superscript"/>
              </w:rPr>
            </w:pPr>
            <w:r>
              <w:rPr>
                <w:rFonts w:ascii="Times New Roman" w:hAnsi="Times New Roman"/>
                <w:sz w:val="22"/>
                <w:szCs w:val="22"/>
              </w:rPr>
              <w:t xml:space="preserve">    </w:t>
            </w:r>
            <w:r>
              <w:rPr>
                <w:rFonts w:ascii="Times New Roman" w:hAnsi="Times New Roman"/>
                <w:sz w:val="22"/>
                <w:szCs w:val="22"/>
              </w:rPr>
              <w:t xml:space="preserve">Метод два дана </w:t>
            </w:r>
            <w:r>
              <w:rPr>
                <w:rFonts w:ascii="Times New Roman" w:hAnsi="Times New Roman"/>
                <w:sz w:val="22"/>
                <w:szCs w:val="22"/>
                <w:vertAlign w:val="superscript"/>
              </w:rPr>
              <w:t>6</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4</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vertAlign w:val="superscript"/>
              </w:rPr>
            </w:pPr>
            <w:r>
              <w:rPr>
                <w:rFonts w:ascii="Times New Roman" w:hAnsi="Times New Roman"/>
                <w:sz w:val="22"/>
                <w:szCs w:val="22"/>
              </w:rPr>
              <w:t xml:space="preserve">    </w:t>
            </w:r>
            <w:r>
              <w:rPr>
                <w:rFonts w:ascii="Times New Roman" w:hAnsi="Times New Roman"/>
                <w:sz w:val="22"/>
                <w:szCs w:val="22"/>
              </w:rPr>
              <w:t xml:space="preserve">Метод овулације </w:t>
            </w:r>
            <w:r>
              <w:rPr>
                <w:rFonts w:ascii="Times New Roman" w:hAnsi="Times New Roman"/>
                <w:sz w:val="22"/>
                <w:szCs w:val="22"/>
                <w:vertAlign w:val="superscript"/>
              </w:rPr>
              <w:t>6</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3</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Сунђер</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Жене које су рађале</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32</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20</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46</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Жене које нису рађале</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16</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9</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57</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vertAlign w:val="superscript"/>
              </w:rPr>
            </w:pPr>
            <w:r>
              <w:rPr>
                <w:rFonts w:ascii="Times New Roman" w:hAnsi="Times New Roman"/>
                <w:sz w:val="22"/>
                <w:szCs w:val="22"/>
              </w:rPr>
              <w:t xml:space="preserve">Дијафрагма </w:t>
            </w:r>
            <w:r>
              <w:rPr>
                <w:rFonts w:ascii="Times New Roman" w:hAnsi="Times New Roman"/>
                <w:sz w:val="22"/>
                <w:szCs w:val="22"/>
                <w:vertAlign w:val="superscript"/>
              </w:rPr>
              <w:t>7</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16</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6</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57</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vertAlign w:val="superscript"/>
              </w:rPr>
            </w:pPr>
            <w:r>
              <w:rPr>
                <w:rFonts w:ascii="Times New Roman" w:hAnsi="Times New Roman"/>
                <w:sz w:val="22"/>
                <w:szCs w:val="22"/>
              </w:rPr>
              <w:t xml:space="preserve">Кондом </w:t>
            </w:r>
            <w:r>
              <w:rPr>
                <w:rFonts w:ascii="Times New Roman" w:hAnsi="Times New Roman"/>
                <w:sz w:val="22"/>
                <w:szCs w:val="22"/>
                <w:vertAlign w:val="superscript"/>
              </w:rPr>
              <w:t>8</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Женски</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21</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5</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49</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Мушки</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15</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2</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53</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Комбиноване таблете и таблете искључиво на бази прогестогена</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8</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0,3</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68</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Evra фластер</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8</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0,3</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8</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NuvaRing</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8</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0,3</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8</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Depo-Provera</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3</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0,3</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56</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Комбиноване и</w:t>
            </w:r>
            <w:r>
              <w:rPr>
                <w:rFonts w:ascii="Times New Roman" w:hAnsi="Times New Roman"/>
                <w:sz w:val="22"/>
                <w:szCs w:val="22"/>
                <w:lang w:val="sr-RS"/>
              </w:rPr>
              <w:t>нј</w:t>
            </w:r>
            <w:r>
              <w:rPr>
                <w:rFonts w:ascii="Times New Roman" w:hAnsi="Times New Roman"/>
                <w:sz w:val="22"/>
                <w:szCs w:val="22"/>
              </w:rPr>
              <w:t xml:space="preserve">екције          </w:t>
            </w:r>
          </w:p>
          <w:p>
            <w:pPr>
              <w:pStyle w:val="TableContents"/>
              <w:rPr>
                <w:rFonts w:ascii="Times New Roman" w:hAnsi="Times New Roman"/>
                <w:sz w:val="22"/>
                <w:szCs w:val="22"/>
                <w:vertAlign w:val="superscript"/>
              </w:rPr>
            </w:pPr>
            <w:r>
              <w:rPr>
                <w:rFonts w:ascii="Times New Roman" w:hAnsi="Times New Roman"/>
                <w:sz w:val="22"/>
                <w:szCs w:val="22"/>
              </w:rPr>
              <w:t xml:space="preserve">   </w:t>
            </w:r>
            <w:r>
              <w:rPr>
                <w:rFonts w:ascii="Times New Roman" w:hAnsi="Times New Roman"/>
                <w:sz w:val="22"/>
                <w:szCs w:val="22"/>
              </w:rPr>
              <w:t xml:space="preserve">(Lunelle) </w:t>
            </w:r>
            <w:r>
              <w:rPr>
                <w:rFonts w:ascii="Times New Roman" w:hAnsi="Times New Roman"/>
                <w:sz w:val="22"/>
                <w:szCs w:val="22"/>
                <w:vertAlign w:val="superscript"/>
              </w:rPr>
              <w:t>9</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3</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0,05</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56</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Интраутерини уложак</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ParaGard (Cooper T)</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0,8</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0,6</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78</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Mirena (LNG-IUS)</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0,2</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0,2</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80</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Implanon</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0,05</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0,05</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84</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Стерилизација жена</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0,5</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0,5</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100</w:t>
            </w:r>
          </w:p>
        </w:tc>
      </w:tr>
      <w:tr>
        <w:trPr>
          <w:cantSplit w:val="false"/>
        </w:trPr>
        <w:tc>
          <w:tcPr>
            <w:tcW w:w="2775"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Стерилизација мушкарца</w:t>
            </w:r>
          </w:p>
        </w:tc>
        <w:tc>
          <w:tcPr>
            <w:tcW w:w="215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0,15</w:t>
            </w:r>
          </w:p>
        </w:tc>
        <w:tc>
          <w:tcPr>
            <w:tcW w:w="2276" w:type="dxa"/>
            <w:tcBorders>
              <w:top w:val="nil"/>
              <w:left w:val="single" w:sz="2" w:space="0" w:color="000001"/>
              <w:bottom w:val="single" w:sz="2" w:space="0" w:color="000001"/>
              <w:insideH w:val="single" w:sz="2" w:space="0" w:color="000001"/>
              <w:right w:val="nil"/>
              <w:insideV w:val="nil"/>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0,10</w:t>
            </w:r>
          </w:p>
        </w:tc>
        <w:tc>
          <w:tcPr>
            <w:tcW w:w="2421" w:type="dxa"/>
            <w:gridSpan w:val="2"/>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jc w:val="center"/>
              <w:rPr>
                <w:rFonts w:ascii="Times New Roman" w:hAnsi="Times New Roman"/>
                <w:sz w:val="22"/>
                <w:szCs w:val="22"/>
              </w:rPr>
            </w:pPr>
            <w:r>
              <w:rPr>
                <w:rFonts w:ascii="Times New Roman" w:hAnsi="Times New Roman"/>
                <w:sz w:val="22"/>
                <w:szCs w:val="22"/>
              </w:rPr>
              <w:t>100</w:t>
            </w:r>
          </w:p>
        </w:tc>
      </w:tr>
      <w:tr>
        <w:trPr>
          <w:cantSplit w:val="false"/>
        </w:trPr>
        <w:tc>
          <w:tcPr>
            <w:tcW w:w="9628" w:type="dxa"/>
            <w:gridSpan w:val="5"/>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rPr>
                <w:rFonts w:ascii="Times New Roman" w:hAnsi="Times New Roman"/>
                <w:sz w:val="22"/>
                <w:szCs w:val="22"/>
              </w:rPr>
            </w:pPr>
            <w:r>
              <w:rPr>
                <w:rFonts w:ascii="Times New Roman" w:hAnsi="Times New Roman"/>
                <w:sz w:val="22"/>
                <w:szCs w:val="22"/>
              </w:rPr>
              <w:t xml:space="preserve">Хитна орална контрацепција: терапија започета у року од 72 сата након незаштићеног сношаја смањује ризик од трудноће за барем 75%. </w:t>
            </w:r>
          </w:p>
        </w:tc>
      </w:tr>
      <w:tr>
        <w:trPr>
          <w:cantSplit w:val="false"/>
        </w:trPr>
        <w:tc>
          <w:tcPr>
            <w:tcW w:w="9628" w:type="dxa"/>
            <w:gridSpan w:val="5"/>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5" w:type="dxa"/>
            </w:tcMar>
          </w:tcPr>
          <w:p>
            <w:pPr>
              <w:pStyle w:val="TableContents"/>
              <w:rPr>
                <w:rFonts w:ascii="Times New Roman" w:hAnsi="Times New Roman"/>
                <w:sz w:val="22"/>
                <w:szCs w:val="22"/>
                <w:vertAlign w:val="superscript"/>
              </w:rPr>
            </w:pPr>
            <w:r>
              <w:rPr>
                <w:rFonts w:ascii="Times New Roman" w:hAnsi="Times New Roman"/>
                <w:sz w:val="22"/>
                <w:szCs w:val="22"/>
              </w:rPr>
              <w:t xml:space="preserve">Метод лактационе аменореје је изузетно делотворан, привремени метод контрацепције </w:t>
            </w:r>
            <w:r>
              <w:rPr>
                <w:rFonts w:ascii="Times New Roman" w:hAnsi="Times New Roman"/>
                <w:sz w:val="22"/>
                <w:szCs w:val="22"/>
                <w:vertAlign w:val="superscript"/>
              </w:rPr>
              <w:t>10</w:t>
            </w:r>
          </w:p>
        </w:tc>
      </w:tr>
    </w:tbl>
    <w:p>
      <w:pPr>
        <w:pStyle w:val="Normal"/>
        <w:widowControl/>
        <w:pBdr>
          <w:top w:val="nil"/>
          <w:left w:val="nil"/>
          <w:bottom w:val="nil"/>
          <w:right w:val="nil"/>
        </w:pBdr>
        <w:jc w:val="both"/>
        <w:rPr>
          <w:rFonts w:ascii="Times New Roman" w:hAnsi="Times New Roman"/>
          <w:sz w:val="20"/>
          <w:szCs w:val="20"/>
        </w:rPr>
      </w:pPr>
      <w:r>
        <w:rPr>
          <w:rFonts w:ascii="Times New Roman" w:hAnsi="Times New Roman"/>
          <w:b/>
          <w:sz w:val="20"/>
          <w:szCs w:val="20"/>
        </w:rPr>
        <w:t xml:space="preserve">Извор: </w:t>
      </w:r>
      <w:r>
        <w:rPr>
          <w:rFonts w:ascii="Times New Roman" w:hAnsi="Times New Roman"/>
          <w:sz w:val="20"/>
          <w:szCs w:val="20"/>
        </w:rPr>
        <w:t>(Trussell J. Contraceptive efficacy. In: Hatcher RA, Trussell J, Nelson AL, Cates W, Stewart FH, Kowal D. Contraceptive technology: nineteenth revised edition. New York NY: Ardent Media, 2007.)</w:t>
      </w:r>
    </w:p>
    <w:p>
      <w:pPr>
        <w:pStyle w:val="Normal"/>
        <w:widowControl/>
        <w:pBdr>
          <w:top w:val="nil"/>
          <w:left w:val="nil"/>
          <w:bottom w:val="nil"/>
          <w:right w:val="nil"/>
        </w:pBdr>
        <w:jc w:val="both"/>
        <w:rPr>
          <w:rFonts w:ascii="Times New Roman" w:hAnsi="Times New Roman"/>
          <w:sz w:val="20"/>
          <w:szCs w:val="20"/>
        </w:rPr>
      </w:pPr>
      <w:r>
        <w:rPr>
          <w:rFonts w:ascii="Times New Roman" w:hAnsi="Times New Roman"/>
          <w:sz w:val="20"/>
          <w:szCs w:val="20"/>
        </w:rPr>
      </w:r>
    </w:p>
    <w:p>
      <w:pPr>
        <w:pStyle w:val="Normal"/>
        <w:widowControl/>
        <w:pBdr>
          <w:top w:val="nil"/>
          <w:left w:val="nil"/>
          <w:bottom w:val="nil"/>
          <w:right w:val="nil"/>
        </w:pBdr>
        <w:jc w:val="both"/>
        <w:rPr>
          <w:rFonts w:ascii="Times New Roman" w:hAnsi="Times New Roman"/>
          <w:b/>
          <w:sz w:val="20"/>
          <w:szCs w:val="20"/>
        </w:rPr>
      </w:pPr>
      <w:r>
        <w:rPr>
          <w:rFonts w:ascii="Times New Roman" w:hAnsi="Times New Roman"/>
          <w:b/>
          <w:sz w:val="20"/>
          <w:szCs w:val="20"/>
        </w:rPr>
        <w:t>Напомене:</w:t>
      </w:r>
    </w:p>
    <w:p>
      <w:pPr>
        <w:pStyle w:val="Normal"/>
        <w:widowControl/>
        <w:pBdr>
          <w:top w:val="nil"/>
          <w:left w:val="nil"/>
          <w:bottom w:val="nil"/>
          <w:right w:val="nil"/>
        </w:pBdr>
        <w:jc w:val="both"/>
        <w:rPr>
          <w:rFonts w:ascii="Times New Roman" w:hAnsi="Times New Roman"/>
          <w:sz w:val="20"/>
          <w:szCs w:val="20"/>
        </w:rPr>
      </w:pPr>
      <w:r>
        <w:rPr>
          <w:rFonts w:ascii="Times New Roman" w:hAnsi="Times New Roman"/>
          <w:sz w:val="20"/>
          <w:szCs w:val="20"/>
        </w:rPr>
        <w:t>1. Проценат оних којима се догоди нежељена трудноћа међу паровима који почну с употребом неког метода (не нужно први пут), у току прве године коришћења, уколико не престану с употребом из ма ког разлога.</w:t>
      </w:r>
    </w:p>
    <w:p>
      <w:pPr>
        <w:pStyle w:val="Normal"/>
        <w:widowControl/>
        <w:pBdr>
          <w:top w:val="nil"/>
          <w:left w:val="nil"/>
          <w:bottom w:val="nil"/>
          <w:right w:val="nil"/>
        </w:pBdr>
        <w:jc w:val="both"/>
        <w:rPr>
          <w:rFonts w:ascii="Times New Roman" w:hAnsi="Times New Roman"/>
          <w:sz w:val="20"/>
          <w:szCs w:val="20"/>
        </w:rPr>
      </w:pPr>
      <w:r>
        <w:rPr>
          <w:rFonts w:ascii="Times New Roman" w:hAnsi="Times New Roman"/>
          <w:sz w:val="20"/>
          <w:szCs w:val="20"/>
        </w:rPr>
        <w:t>2. Проценат оних којима се догоди нежељена трудноћа међу паровима који почну с употребом неког метода (не нужно први пут) и који га користе на идеалан начин (доследно и правилно), у току прве године коришћења, уколико не престану с употребом из ма ког разлога</w:t>
      </w:r>
    </w:p>
    <w:p>
      <w:pPr>
        <w:pStyle w:val="Normal"/>
        <w:widowControl/>
        <w:pBdr>
          <w:top w:val="nil"/>
          <w:left w:val="nil"/>
          <w:bottom w:val="nil"/>
          <w:right w:val="nil"/>
        </w:pBdr>
        <w:jc w:val="both"/>
        <w:rPr>
          <w:rFonts w:ascii="Times New Roman" w:hAnsi="Times New Roman"/>
          <w:sz w:val="20"/>
          <w:szCs w:val="20"/>
        </w:rPr>
      </w:pPr>
      <w:r>
        <w:rPr>
          <w:rFonts w:ascii="Times New Roman" w:hAnsi="Times New Roman"/>
          <w:sz w:val="20"/>
          <w:szCs w:val="20"/>
        </w:rPr>
        <w:t>3. Проценат оних који ће наставити употребом тог метода након годину дана, међу паровима који желе да избегну трудноћу.</w:t>
      </w:r>
    </w:p>
    <w:p>
      <w:pPr>
        <w:pStyle w:val="Normal"/>
        <w:widowControl/>
        <w:pBdr>
          <w:top w:val="nil"/>
          <w:left w:val="nil"/>
          <w:bottom w:val="nil"/>
          <w:right w:val="nil"/>
        </w:pBdr>
        <w:jc w:val="both"/>
        <w:rPr>
          <w:rFonts w:ascii="Times New Roman" w:hAnsi="Times New Roman"/>
          <w:sz w:val="20"/>
          <w:szCs w:val="20"/>
        </w:rPr>
      </w:pPr>
      <w:r>
        <w:rPr>
          <w:rFonts w:ascii="Times New Roman" w:hAnsi="Times New Roman"/>
          <w:sz w:val="20"/>
          <w:szCs w:val="20"/>
        </w:rPr>
        <w:t>4. Проценат жена које би остале у другом стању у року од годину дана које се сад ослањају на реверзибилне методе контрацепције, уколико би у потпуности престале с контрацепцијом.</w:t>
      </w:r>
    </w:p>
    <w:p>
      <w:pPr>
        <w:pStyle w:val="Normal"/>
        <w:widowControl/>
        <w:pBdr>
          <w:top w:val="nil"/>
          <w:left w:val="nil"/>
          <w:bottom w:val="nil"/>
          <w:right w:val="nil"/>
        </w:pBdr>
        <w:jc w:val="both"/>
        <w:rPr>
          <w:rFonts w:ascii="Times New Roman" w:hAnsi="Times New Roman"/>
          <w:sz w:val="20"/>
          <w:szCs w:val="20"/>
          <w:lang w:val="sr-RS"/>
        </w:rPr>
      </w:pPr>
      <w:r>
        <w:rPr>
          <w:rFonts w:ascii="Times New Roman" w:hAnsi="Times New Roman"/>
          <w:sz w:val="20"/>
          <w:szCs w:val="20"/>
        </w:rPr>
        <w:t>5. Пене, креме, гелови, вагиналне супозиторије и вагинални филм</w:t>
      </w:r>
      <w:r>
        <w:rPr>
          <w:rFonts w:ascii="Times New Roman" w:hAnsi="Times New Roman"/>
          <w:sz w:val="20"/>
          <w:szCs w:val="20"/>
          <w:lang w:val="sr-RS"/>
        </w:rPr>
        <w:t>.</w:t>
      </w:r>
    </w:p>
    <w:p>
      <w:pPr>
        <w:pStyle w:val="Normal"/>
        <w:widowControl/>
        <w:pBdr>
          <w:top w:val="nil"/>
          <w:left w:val="nil"/>
          <w:bottom w:val="nil"/>
          <w:right w:val="nil"/>
        </w:pBdr>
        <w:jc w:val="both"/>
        <w:rPr>
          <w:rFonts w:ascii="Times New Roman" w:hAnsi="Times New Roman"/>
          <w:sz w:val="20"/>
          <w:szCs w:val="20"/>
        </w:rPr>
      </w:pPr>
      <w:r>
        <w:rPr>
          <w:rFonts w:ascii="Times New Roman" w:hAnsi="Times New Roman"/>
          <w:sz w:val="20"/>
          <w:szCs w:val="20"/>
        </w:rPr>
        <w:t>6. Метод овулације и метод два дана су засновани на процени цервикалног секрета. Метод стандардних дана подразумева избегавање сношаја од 8. до 19. дана циклуса.</w:t>
      </w:r>
    </w:p>
    <w:p>
      <w:pPr>
        <w:pStyle w:val="Normal"/>
        <w:widowControl/>
        <w:pBdr>
          <w:top w:val="nil"/>
          <w:left w:val="nil"/>
          <w:bottom w:val="nil"/>
          <w:right w:val="nil"/>
        </w:pBdr>
        <w:jc w:val="both"/>
        <w:rPr>
          <w:rFonts w:ascii="Times New Roman" w:hAnsi="Times New Roman"/>
          <w:sz w:val="20"/>
          <w:szCs w:val="20"/>
        </w:rPr>
      </w:pPr>
      <w:r>
        <w:rPr>
          <w:rFonts w:ascii="Times New Roman" w:hAnsi="Times New Roman"/>
          <w:sz w:val="20"/>
          <w:szCs w:val="20"/>
        </w:rPr>
        <w:t>7. Са спермицидним кремом или гелом.</w:t>
      </w:r>
    </w:p>
    <w:p>
      <w:pPr>
        <w:pStyle w:val="Normal"/>
        <w:widowControl/>
        <w:pBdr>
          <w:top w:val="nil"/>
          <w:left w:val="nil"/>
          <w:bottom w:val="nil"/>
          <w:right w:val="nil"/>
        </w:pBdr>
        <w:jc w:val="both"/>
        <w:rPr>
          <w:rFonts w:ascii="Times New Roman" w:hAnsi="Times New Roman"/>
          <w:sz w:val="20"/>
          <w:szCs w:val="20"/>
          <w:lang w:val="sr-RS"/>
        </w:rPr>
      </w:pPr>
      <w:r>
        <w:rPr>
          <w:rFonts w:ascii="Times New Roman" w:hAnsi="Times New Roman"/>
          <w:sz w:val="20"/>
          <w:szCs w:val="20"/>
        </w:rPr>
        <w:t>8. Без спермицида</w:t>
      </w:r>
      <w:r>
        <w:rPr>
          <w:rFonts w:ascii="Times New Roman" w:hAnsi="Times New Roman"/>
          <w:sz w:val="20"/>
          <w:szCs w:val="20"/>
          <w:lang w:val="sr-RS"/>
        </w:rPr>
        <w:t>.</w:t>
      </w:r>
    </w:p>
    <w:p>
      <w:pPr>
        <w:pStyle w:val="Normal"/>
        <w:widowControl/>
        <w:pBdr>
          <w:top w:val="nil"/>
          <w:left w:val="nil"/>
          <w:bottom w:val="nil"/>
          <w:right w:val="nil"/>
        </w:pBdr>
        <w:jc w:val="both"/>
        <w:rPr>
          <w:rFonts w:ascii="Times New Roman" w:hAnsi="Times New Roman"/>
          <w:sz w:val="20"/>
          <w:szCs w:val="20"/>
          <w:lang w:val="sr-RS"/>
        </w:rPr>
      </w:pPr>
      <w:r>
        <w:rPr>
          <w:rFonts w:ascii="Times New Roman" w:hAnsi="Times New Roman"/>
          <w:sz w:val="20"/>
          <w:szCs w:val="20"/>
        </w:rPr>
        <w:t>9. Извор: Trussell J. Contraceptive efficacy. In: Hatcher RA, Trussell J, Nelson AL, Cates W, Stewart FH, Kowal D. Contraceptive technology: e</w:t>
      </w:r>
      <w:r>
        <w:rPr>
          <w:rFonts w:ascii="Times New Roman" w:hAnsi="Times New Roman"/>
          <w:color w:val="000000"/>
          <w:sz w:val="20"/>
          <w:szCs w:val="20"/>
        </w:rPr>
        <w:t>ighteenth</w:t>
      </w:r>
      <w:r>
        <w:rPr>
          <w:rFonts w:ascii="Times New Roman" w:hAnsi="Times New Roman"/>
          <w:sz w:val="20"/>
          <w:szCs w:val="20"/>
        </w:rPr>
        <w:t xml:space="preserve"> revised edition. New York NY: Ardent Media, 2004</w:t>
      </w:r>
      <w:r>
        <w:rPr>
          <w:rFonts w:ascii="Times New Roman" w:hAnsi="Times New Roman"/>
          <w:sz w:val="20"/>
          <w:szCs w:val="20"/>
          <w:lang w:val="sr-RS"/>
        </w:rPr>
        <w:t>.</w:t>
      </w:r>
    </w:p>
    <w:p>
      <w:pPr>
        <w:pStyle w:val="Normal"/>
        <w:widowControl/>
        <w:pBdr>
          <w:top w:val="nil"/>
          <w:left w:val="nil"/>
          <w:bottom w:val="nil"/>
          <w:right w:val="nil"/>
        </w:pBdr>
        <w:jc w:val="both"/>
        <w:rPr>
          <w:rFonts w:ascii="Times New Roman" w:hAnsi="Times New Roman"/>
          <w:sz w:val="20"/>
          <w:szCs w:val="20"/>
        </w:rPr>
      </w:pPr>
      <w:r>
        <w:rPr>
          <w:rFonts w:ascii="Times New Roman" w:hAnsi="Times New Roman"/>
          <w:sz w:val="20"/>
          <w:szCs w:val="20"/>
        </w:rPr>
        <w:t xml:space="preserve">10. Међутим, како би се одржала делотворна заштита од трудноће, потребно је почети с коришћењем другог метода контрацепције чим се менструација врати, смањи се учесталост или трајање дојења, уведе се храњење бебе из флашице, или дете наврши </w:t>
      </w:r>
      <w:r>
        <w:rPr>
          <w:rFonts w:ascii="Times New Roman" w:hAnsi="Times New Roman"/>
          <w:sz w:val="20"/>
          <w:szCs w:val="20"/>
          <w:lang w:val="sr-RS"/>
        </w:rPr>
        <w:t>шест</w:t>
      </w:r>
      <w:r>
        <w:rPr>
          <w:rFonts w:ascii="Times New Roman" w:hAnsi="Times New Roman"/>
          <w:sz w:val="20"/>
          <w:szCs w:val="20"/>
        </w:rPr>
        <w:t xml:space="preserve"> месеци.</w:t>
      </w:r>
    </w:p>
    <w:p>
      <w:pPr>
        <w:pStyle w:val="Normal"/>
        <w:widowControl/>
        <w:pBdr>
          <w:top w:val="nil"/>
          <w:left w:val="nil"/>
          <w:bottom w:val="nil"/>
          <w:right w:val="nil"/>
        </w:pBdr>
        <w:jc w:val="both"/>
        <w:rPr>
          <w:rFonts w:ascii="Times New Roman" w:hAnsi="Times New Roman"/>
          <w:b/>
          <w:bCs/>
        </w:rPr>
      </w:pPr>
      <w:r>
        <w:rPr>
          <w:rFonts w:ascii="Times New Roman" w:hAnsi="Times New Roman"/>
          <w:b/>
          <w:bCs/>
        </w:rPr>
      </w:r>
    </w:p>
    <w:p>
      <w:pPr>
        <w:pStyle w:val="Normal"/>
        <w:widowControl/>
        <w:pBdr>
          <w:top w:val="nil"/>
          <w:left w:val="nil"/>
          <w:bottom w:val="nil"/>
          <w:right w:val="nil"/>
        </w:pBdr>
        <w:jc w:val="both"/>
        <w:rPr>
          <w:rFonts w:ascii="Times New Roman" w:hAnsi="Times New Roman"/>
          <w:b/>
          <w:bCs/>
          <w:lang w:val="sr-RS"/>
        </w:rPr>
      </w:pPr>
      <w:r>
        <w:rPr>
          <w:rFonts w:ascii="Times New Roman" w:hAnsi="Times New Roman"/>
          <w:b/>
          <w:bCs/>
          <w:lang w:val="sr-RS"/>
        </w:rPr>
      </w:r>
    </w:p>
    <w:p>
      <w:pPr>
        <w:pStyle w:val="Normal"/>
        <w:widowControl/>
        <w:pBdr>
          <w:top w:val="nil"/>
          <w:left w:val="nil"/>
          <w:bottom w:val="nil"/>
          <w:right w:val="nil"/>
        </w:pBdr>
        <w:jc w:val="both"/>
        <w:rPr>
          <w:rFonts w:ascii="Times New Roman" w:hAnsi="Times New Roman"/>
          <w:b/>
          <w:bCs/>
        </w:rPr>
      </w:pPr>
      <w:bookmarkStart w:id="2" w:name="__DdeLink__1174_1770622947"/>
      <w:r>
        <w:rPr>
          <w:rFonts w:ascii="Times New Roman" w:hAnsi="Times New Roman"/>
          <w:b/>
          <w:bCs/>
        </w:rPr>
        <w:t>Здравствена стања која излажу жену повећаном ризику</w:t>
      </w:r>
      <w:bookmarkEnd w:id="2"/>
      <w:r>
        <w:rPr>
          <w:rFonts w:ascii="Times New Roman" w:hAnsi="Times New Roman"/>
          <w:b/>
          <w:bCs/>
        </w:rPr>
        <w:t xml:space="preserve"> у случају нежељене трудноће</w:t>
      </w:r>
    </w:p>
    <w:p>
      <w:pPr>
        <w:pStyle w:val="Normal"/>
        <w:widowControl/>
        <w:pBdr>
          <w:top w:val="nil"/>
          <w:left w:val="nil"/>
          <w:bottom w:val="nil"/>
          <w:right w:val="nil"/>
        </w:pBdr>
        <w:jc w:val="both"/>
        <w:rPr>
          <w:rFonts w:ascii="Times New Roman" w:hAnsi="Times New Roman"/>
          <w:b/>
          <w:bCs/>
        </w:rPr>
      </w:pPr>
      <w:r>
        <w:rPr>
          <w:rFonts w:ascii="Times New Roman" w:hAnsi="Times New Roman"/>
          <w:b/>
          <w:bCs/>
        </w:rPr>
      </w:r>
    </w:p>
    <w:p>
      <w:pPr>
        <w:pStyle w:val="Normal"/>
        <w:widowControl/>
        <w:pBdr>
          <w:top w:val="nil"/>
          <w:left w:val="nil"/>
          <w:bottom w:val="nil"/>
          <w:right w:val="nil"/>
        </w:pBdr>
        <w:jc w:val="both"/>
        <w:rPr>
          <w:rFonts w:ascii="Times New Roman" w:hAnsi="Times New Roman"/>
        </w:rPr>
      </w:pPr>
      <w:r>
        <w:rPr>
          <w:rFonts w:ascii="Times New Roman" w:hAnsi="Times New Roman"/>
        </w:rPr>
        <w:t>Женама са обољењима због којих нежељена трудноћа може да представља неприхватљив здравствени ризик треба саветовати да искључива употреба баријерних метода и метода који захтевају ангажовање корисника за њих не би била најприкладнији избор. Ова обољења обухватају:</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Карцином дојке</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Компликована обољења срчаних залистака</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Дијабетес: инсулин-зависни; са нефропатијом/ретинопатијом/неуропатијом или с другим васкуларним обољењем; или ако траје дуже од 20 година</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Карцином материце или јајника</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Повишени крвни притисак (систолни &gt; 160 mmHg или дијастолни &gt; 100 mmHg)</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HIV/AIDS</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Исхемијско обољење срца</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Малигна гестацијска трофобластна болест</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 xml:space="preserve">Малигни тумори јетре и хепатоцелуларни карцином јетре </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Шистозомијаза са фиброзом јетре</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Тешка (декомпензована) цироза</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Анемија српастих ћелија</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Сексуално преносиве инфекције</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Мождани удар</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 xml:space="preserve">Системски еритемски лупус </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Тромбогене мутације</w:t>
      </w:r>
    </w:p>
    <w:p>
      <w:pPr>
        <w:pStyle w:val="Normal"/>
        <w:widowControl/>
        <w:numPr>
          <w:ilvl w:val="0"/>
          <w:numId w:val="1"/>
        </w:numPr>
        <w:pBdr>
          <w:top w:val="nil"/>
          <w:left w:val="nil"/>
          <w:bottom w:val="nil"/>
          <w:right w:val="nil"/>
        </w:pBdr>
        <w:jc w:val="both"/>
        <w:rPr>
          <w:rFonts w:ascii="Times New Roman" w:hAnsi="Times New Roman"/>
        </w:rPr>
      </w:pPr>
      <w:r>
        <w:rPr>
          <w:rFonts w:ascii="Times New Roman" w:hAnsi="Times New Roman"/>
        </w:rPr>
        <w:t>Туберкулоза</w:t>
      </w:r>
    </w:p>
    <w:p>
      <w:pPr>
        <w:pStyle w:val="Normal"/>
        <w:widowControl/>
        <w:pBdr>
          <w:top w:val="nil"/>
          <w:left w:val="nil"/>
          <w:bottom w:val="nil"/>
          <w:right w:val="nil"/>
        </w:pBdr>
        <w:jc w:val="both"/>
        <w:rPr>
          <w:rFonts w:ascii="Times New Roman" w:hAnsi="Times New Roman"/>
        </w:rPr>
      </w:pPr>
      <w:r>
        <w:rPr>
          <w:rFonts w:ascii="Times New Roman" w:hAnsi="Times New Roman"/>
        </w:rPr>
      </w:r>
    </w:p>
    <w:p>
      <w:pPr>
        <w:pStyle w:val="Normal"/>
        <w:widowControl/>
        <w:pBdr>
          <w:top w:val="nil"/>
          <w:left w:val="nil"/>
          <w:bottom w:val="nil"/>
          <w:right w:val="nil"/>
        </w:pBdr>
        <w:jc w:val="both"/>
        <w:rPr>
          <w:rFonts w:ascii="Times New Roman" w:hAnsi="Times New Roman"/>
          <w:b/>
          <w:bCs/>
        </w:rPr>
      </w:pPr>
      <w:r>
        <w:rPr>
          <w:rFonts w:ascii="Times New Roman" w:hAnsi="Times New Roman"/>
          <w:b/>
          <w:bCs/>
        </w:rPr>
        <w:t>Поновно успостављање плодности</w:t>
      </w:r>
    </w:p>
    <w:p>
      <w:pPr>
        <w:pStyle w:val="Normal"/>
        <w:widowControl/>
        <w:pBdr>
          <w:top w:val="nil"/>
          <w:left w:val="nil"/>
          <w:bottom w:val="nil"/>
          <w:right w:val="nil"/>
        </w:pBdr>
        <w:jc w:val="both"/>
        <w:rPr>
          <w:rFonts w:ascii="Times New Roman" w:hAnsi="Times New Roman"/>
        </w:rPr>
      </w:pPr>
      <w:r>
        <w:rPr>
          <w:rFonts w:ascii="Times New Roman" w:hAnsi="Times New Roman"/>
        </w:rPr>
      </w:r>
    </w:p>
    <w:p>
      <w:pPr>
        <w:pStyle w:val="Normal"/>
        <w:widowControl/>
        <w:pBdr>
          <w:top w:val="nil"/>
          <w:left w:val="nil"/>
          <w:bottom w:val="nil"/>
          <w:right w:val="nil"/>
        </w:pBdr>
        <w:jc w:val="both"/>
        <w:rPr>
          <w:rFonts w:ascii="Times New Roman" w:hAnsi="Times New Roman"/>
          <w:lang w:val="sr-RS"/>
        </w:rPr>
      </w:pPr>
      <w:r>
        <w:rPr>
          <w:rFonts w:ascii="Times New Roman" w:hAnsi="Times New Roman"/>
        </w:rPr>
        <w:t>С изузетком стерилизације мушкараца и жена, употреба контрацептивних средстава не води ка неповратним променама плодности. Поновно успостављање плодности је брзо код свих метода, осим код депо</w:t>
      </w:r>
      <w:r>
        <w:rPr>
          <w:rFonts w:ascii="Times New Roman" w:hAnsi="Times New Roman"/>
          <w:lang w:val="sr-RS"/>
        </w:rPr>
        <w:t>-</w:t>
      </w:r>
      <w:r>
        <w:rPr>
          <w:rFonts w:ascii="Times New Roman" w:hAnsi="Times New Roman"/>
        </w:rPr>
        <w:t>и</w:t>
      </w:r>
      <w:r>
        <w:rPr>
          <w:rFonts w:ascii="Times New Roman" w:hAnsi="Times New Roman"/>
          <w:lang w:val="sr-RS"/>
        </w:rPr>
        <w:t>нј</w:t>
      </w:r>
      <w:r>
        <w:rPr>
          <w:rFonts w:ascii="Times New Roman" w:hAnsi="Times New Roman"/>
        </w:rPr>
        <w:t>екција медроксипрогестерон-ацетата и норетистерон енантата. Просечно време потребно да би се поново усп</w:t>
      </w:r>
      <w:r>
        <w:rPr>
          <w:rFonts w:ascii="Times New Roman" w:hAnsi="Times New Roman"/>
          <w:lang w:val="sr-RS"/>
        </w:rPr>
        <w:t>о</w:t>
      </w:r>
      <w:r>
        <w:rPr>
          <w:rFonts w:ascii="Times New Roman" w:hAnsi="Times New Roman"/>
        </w:rPr>
        <w:t xml:space="preserve">ставила плодност код ових метода је 10, односно </w:t>
      </w:r>
      <w:r>
        <w:rPr>
          <w:rFonts w:ascii="Times New Roman" w:hAnsi="Times New Roman"/>
          <w:lang w:val="sr-RS"/>
        </w:rPr>
        <w:t>шест</w:t>
      </w:r>
      <w:r>
        <w:rPr>
          <w:rFonts w:ascii="Times New Roman" w:hAnsi="Times New Roman"/>
        </w:rPr>
        <w:t xml:space="preserve"> месеци од датума последње и</w:t>
      </w:r>
      <w:r>
        <w:rPr>
          <w:rFonts w:ascii="Times New Roman" w:hAnsi="Times New Roman"/>
          <w:lang w:val="sr-RS"/>
        </w:rPr>
        <w:t>нј</w:t>
      </w:r>
      <w:r>
        <w:rPr>
          <w:rFonts w:ascii="Times New Roman" w:hAnsi="Times New Roman"/>
        </w:rPr>
        <w:t>екције, без обзира на дужину њиховог коришћења. Стерилизација мушкараца и жена треба да се сматра трајним методом, и у складу с тим треба саветовати све појединце и парове који размишљају о томе. Ниједан други метод не доводи до трајне неплодности</w:t>
      </w:r>
      <w:r>
        <w:rPr>
          <w:rFonts w:ascii="Times New Roman" w:hAnsi="Times New Roman"/>
          <w:lang w:val="sr-RS"/>
        </w:rPr>
        <w:t>.</w:t>
      </w:r>
    </w:p>
    <w:p>
      <w:pPr>
        <w:pStyle w:val="Normal"/>
        <w:widowControl/>
        <w:pBdr>
          <w:top w:val="nil"/>
          <w:left w:val="nil"/>
          <w:bottom w:val="nil"/>
          <w:right w:val="nil"/>
        </w:pBdr>
        <w:jc w:val="both"/>
        <w:rPr>
          <w:rFonts w:ascii="Times New Roman" w:hAnsi="Times New Roman"/>
        </w:rPr>
      </w:pPr>
      <w:r>
        <w:rPr>
          <w:rFonts w:ascii="Times New Roman" w:hAnsi="Times New Roman"/>
        </w:rPr>
      </w:r>
    </w:p>
    <w:p>
      <w:pPr>
        <w:pStyle w:val="Normal"/>
        <w:widowControl/>
        <w:pBdr>
          <w:top w:val="nil"/>
          <w:left w:val="nil"/>
          <w:bottom w:val="nil"/>
          <w:right w:val="nil"/>
        </w:pBdr>
        <w:jc w:val="both"/>
        <w:rPr>
          <w:rFonts w:ascii="Times New Roman" w:hAnsi="Times New Roman"/>
          <w:b/>
          <w:bCs/>
        </w:rPr>
      </w:pPr>
      <w:r>
        <w:rPr>
          <w:rFonts w:ascii="Times New Roman" w:hAnsi="Times New Roman"/>
          <w:b/>
          <w:bCs/>
        </w:rPr>
        <w:t>Сексуално преносиве инфекције и контрацепција: двојна заштита</w:t>
      </w:r>
    </w:p>
    <w:p>
      <w:pPr>
        <w:pStyle w:val="Normal"/>
        <w:widowControl/>
        <w:pBdr>
          <w:top w:val="nil"/>
          <w:left w:val="nil"/>
          <w:bottom w:val="nil"/>
          <w:right w:val="nil"/>
        </w:pBdr>
        <w:jc w:val="both"/>
        <w:rPr>
          <w:rFonts w:ascii="Times New Roman" w:hAnsi="Times New Roman"/>
        </w:rPr>
      </w:pPr>
      <w:r>
        <w:rPr>
          <w:rFonts w:ascii="Times New Roman" w:hAnsi="Times New Roman"/>
        </w:rPr>
      </w:r>
    </w:p>
    <w:p>
      <w:pPr>
        <w:pStyle w:val="Normal"/>
        <w:widowControl/>
        <w:pBdr>
          <w:top w:val="nil"/>
          <w:left w:val="nil"/>
          <w:bottom w:val="nil"/>
          <w:right w:val="nil"/>
        </w:pBdr>
        <w:jc w:val="both"/>
        <w:rPr>
          <w:rFonts w:ascii="Times New Roman" w:hAnsi="Times New Roman"/>
        </w:rPr>
      </w:pPr>
      <w:r>
        <w:rPr>
          <w:rFonts w:ascii="Times New Roman" w:hAnsi="Times New Roman"/>
        </w:rPr>
        <w:t xml:space="preserve">Иако је развој међународних стандарда за употребу контрацептивних средстава од кључног значаја за квалитет здравствене заштите, такође се мора узети у обзир друштвени и културолошки контекст сваког корисника, као и његови обрасци понашања. У том смислу, потребно је посебно размотрити проблем изложености сексуално преносивим инфекцијама, укључујући и HIV, због тога што је једнако важно спречити и трудноћу и преношење инфекције. Када постоји ризик од сексуално преносивих инфекција укључујући HIV, важно је да здравствени радници изричито препоручују двојну заштиту свим особама које су изложене значајном ризику, било путем истовремене употребе кондома и још једног метода, или путем доследне и правилне употребе искључиво кондома, како би се спречиле и трудноћа и болест. </w:t>
      </w:r>
    </w:p>
    <w:p>
      <w:pPr>
        <w:pStyle w:val="Normal"/>
        <w:widowControl/>
        <w:pBdr>
          <w:top w:val="nil"/>
          <w:left w:val="nil"/>
          <w:bottom w:val="nil"/>
          <w:right w:val="nil"/>
        </w:pBdr>
        <w:spacing w:before="0" w:after="300"/>
        <w:jc w:val="both"/>
        <w:rPr>
          <w:rFonts w:ascii="Times New Roman" w:hAnsi="Times New Roman"/>
        </w:rPr>
      </w:pPr>
      <w:r>
        <w:rPr>
          <w:rFonts w:ascii="Times New Roman" w:hAnsi="Times New Roman"/>
        </w:rPr>
      </w:r>
    </w:p>
    <w:p>
      <w:pPr>
        <w:pStyle w:val="Normal"/>
        <w:widowControl/>
        <w:pBdr>
          <w:top w:val="nil"/>
          <w:left w:val="nil"/>
          <w:bottom w:val="nil"/>
          <w:right w:val="nil"/>
        </w:pBdr>
        <w:spacing w:before="0" w:after="300"/>
        <w:jc w:val="both"/>
        <w:rPr>
          <w:rFonts w:ascii="Times New Roman" w:hAnsi="Times New Roman"/>
          <w:i/>
          <w:color w:val="000000"/>
        </w:rPr>
      </w:pPr>
      <w:r>
        <w:rPr>
          <w:rFonts w:ascii="Times New Roman" w:hAnsi="Times New Roman"/>
          <w:b/>
          <w:color w:val="000000"/>
        </w:rPr>
        <w:t>Извор:</w:t>
      </w:r>
      <w:r>
        <w:rPr>
          <w:rFonts w:ascii="Times New Roman" w:hAnsi="Times New Roman"/>
          <w:color w:val="000000"/>
        </w:rPr>
        <w:t xml:space="preserve"> </w:t>
      </w:r>
      <w:bookmarkStart w:id="3" w:name="__DdeLink__1116_1877090655"/>
      <w:r>
        <w:rPr>
          <w:rFonts w:ascii="Times New Roman" w:hAnsi="Times New Roman"/>
          <w:i/>
          <w:color w:val="000000"/>
        </w:rPr>
        <w:t>Medical Eligibility Criteria for Contraceptive Use. 5th edition. Geneva: World Health Organization; 2015.</w:t>
      </w:r>
      <w:bookmarkEnd w:id="3"/>
      <w:r>
        <w:rPr>
          <w:rFonts w:ascii="Times New Roman" w:hAnsi="Times New Roman"/>
          <w:i/>
          <w:color w:val="000000"/>
        </w:rPr>
        <w:t xml:space="preserv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2">
    <w:name w:val="Heading 2"/>
    <w:basedOn w:val="Heading"/>
    <w:pPr>
      <w:spacing w:before="200" w:after="120"/>
      <w:outlineLvl w:val="1"/>
    </w:pPr>
    <w:rPr>
      <w:rFonts w:ascii="Liberation Serif" w:hAnsi="Liberation Serif"/>
      <w:b/>
      <w:bCs/>
      <w:sz w:val="36"/>
      <w:szCs w:val="36"/>
    </w:rPr>
  </w:style>
  <w:style w:type="character" w:styleId="DefaultParagraphFont" w:default="1">
    <w:name w:val="Default Paragraph Font"/>
    <w:uiPriority w:val="1"/>
    <w:semiHidden/>
    <w:unhideWhenUsed/>
    <w:rPr/>
  </w:style>
  <w:style w:type="character" w:styleId="ListLabel23" w:customStyle="1">
    <w:name w:val="ListLabel 23"/>
    <w:rPr>
      <w:rFonts w:cs="Symbol"/>
    </w:rPr>
  </w:style>
  <w:style w:type="character" w:styleId="ListLabel24" w:customStyle="1">
    <w:name w:val="ListLabel 24"/>
    <w:rPr>
      <w:rFonts w:cs="OpenSymbol"/>
    </w:rPr>
  </w:style>
  <w:style w:type="character" w:styleId="ListLabel25" w:customStyle="1">
    <w:name w:val="ListLabel 25"/>
    <w:rPr>
      <w:rFonts w:cs="Symbol"/>
    </w:rPr>
  </w:style>
  <w:style w:type="character" w:styleId="ListLabel26" w:customStyle="1">
    <w:name w:val="ListLabel 26"/>
    <w:rPr>
      <w:rFonts w:cs="OpenSymbol"/>
    </w:rPr>
  </w:style>
  <w:style w:type="character" w:styleId="ListLabel27">
    <w:name w:val="ListLabel 27"/>
    <w:rPr>
      <w:rFonts w:cs="Symbol"/>
      <w:sz w:val="20"/>
      <w:szCs w:val="20"/>
    </w:rPr>
  </w:style>
  <w:style w:type="character" w:styleId="ListLabel28">
    <w:name w:val="ListLabel 28"/>
    <w:rPr>
      <w:rFonts w:cs="OpenSymbol"/>
    </w:rPr>
  </w:style>
  <w:style w:type="character" w:styleId="ListLabel29">
    <w:name w:val="ListLabel 29"/>
    <w:rPr>
      <w:rFonts w:cs="Symbol"/>
    </w:rPr>
  </w:style>
  <w:style w:type="character" w:styleId="ListLabel30">
    <w:name w:val="ListLabel 30"/>
    <w:rPr>
      <w:rFonts w:cs="Symbol"/>
      <w:sz w:val="20"/>
      <w:szCs w:val="20"/>
    </w:rPr>
  </w:style>
  <w:style w:type="character" w:styleId="ListLabel31">
    <w:name w:val="ListLabel 31"/>
    <w:rPr>
      <w:rFonts w:cs="OpenSymbol"/>
    </w:rPr>
  </w:style>
  <w:style w:type="character" w:styleId="ListLabel32">
    <w:name w:val="ListLabel 32"/>
    <w:rPr>
      <w:rFonts w:cs="Symbol"/>
    </w:rPr>
  </w:style>
  <w:style w:type="paragraph" w:styleId="Heading" w:customStyle="1">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pPr>
      <w:suppressLineNumbers/>
      <w:spacing w:before="120" w:after="120"/>
    </w:pPr>
    <w:rPr>
      <w:i/>
      <w:iCs/>
    </w:rPr>
  </w:style>
  <w:style w:type="paragraph" w:styleId="TableContents" w:customStyle="1">
    <w:name w:val="Tabl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31AF-0C7C-4BCB-9911-07302C02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2019-09-04T12:45:00Z</dcterms:created>
  <dc:language>en-US</dc:language>
  <cp:lastModifiedBy>Tamara TG. Gruden</cp:lastModifiedBy>
  <dcterms:modified xsi:type="dcterms:W3CDTF">2019-09-05T07:19:00Z</dcterms:modified>
  <cp:revision>7</cp:revision>
</cp:coreProperties>
</file>